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A6BCD" w14:textId="77777777" w:rsidR="00930E7A" w:rsidRDefault="005957E2">
      <w:pPr>
        <w:jc w:val="center"/>
      </w:pPr>
      <w:r>
        <w:rPr>
          <w:noProof/>
          <w:color w:val="auto"/>
          <w:lang w:eastAsia="ru-RU" w:bidi="ar-SA"/>
        </w:rPr>
        <w:drawing>
          <wp:inline distT="0" distB="0" distL="0" distR="0" wp14:anchorId="2DD601D7" wp14:editId="06114FEE">
            <wp:extent cx="638644" cy="830522"/>
            <wp:effectExtent l="0" t="0" r="9056" b="7678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9" t="-8" r="-9" b="-8"/>
                    <a:stretch>
                      <a:fillRect/>
                    </a:stretch>
                  </pic:blipFill>
                  <pic:spPr>
                    <a:xfrm>
                      <a:off x="0" y="0"/>
                      <a:ext cx="638644" cy="830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26791A" w14:textId="77777777" w:rsidR="00930E7A" w:rsidRDefault="005957E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СОВЕТ РАЗДОЛЬНЕНСКОГО СЕЛЬСКОГО ПОСЕЛЕНИЯ КОРЕНОВСКОГО РАЙОНА</w:t>
      </w:r>
    </w:p>
    <w:p w14:paraId="4B00CE49" w14:textId="77777777" w:rsidR="00930E7A" w:rsidRDefault="00930E7A">
      <w:pPr>
        <w:jc w:val="center"/>
        <w:rPr>
          <w:b/>
          <w:color w:val="auto"/>
          <w:sz w:val="28"/>
        </w:rPr>
      </w:pPr>
    </w:p>
    <w:p w14:paraId="78F69950" w14:textId="77777777" w:rsidR="00930E7A" w:rsidRDefault="005957E2">
      <w:pPr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РЕШЕНИЕ</w:t>
      </w:r>
    </w:p>
    <w:p w14:paraId="27648741" w14:textId="77777777" w:rsidR="00930E7A" w:rsidRDefault="00930E7A">
      <w:pPr>
        <w:jc w:val="center"/>
        <w:rPr>
          <w:b/>
          <w:color w:val="auto"/>
          <w:sz w:val="32"/>
        </w:rPr>
      </w:pPr>
    </w:p>
    <w:p w14:paraId="56A57F63" w14:textId="77777777" w:rsidR="00930E7A" w:rsidRDefault="005957E2">
      <w:pPr>
        <w:jc w:val="center"/>
        <w:rPr>
          <w:b/>
          <w:color w:val="auto"/>
        </w:rPr>
      </w:pPr>
      <w:r>
        <w:rPr>
          <w:b/>
          <w:color w:val="auto"/>
        </w:rPr>
        <w:t>00.00.2024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 № 00</w:t>
      </w:r>
    </w:p>
    <w:p w14:paraId="2614CA57" w14:textId="77777777" w:rsidR="00930E7A" w:rsidRDefault="005957E2">
      <w:pPr>
        <w:jc w:val="center"/>
        <w:rPr>
          <w:color w:val="auto"/>
        </w:rPr>
      </w:pPr>
      <w:r>
        <w:rPr>
          <w:color w:val="auto"/>
        </w:rPr>
        <w:t>ст. Раздольная</w:t>
      </w:r>
    </w:p>
    <w:p w14:paraId="06A32920" w14:textId="77777777" w:rsidR="00930E7A" w:rsidRDefault="00930E7A">
      <w:pPr>
        <w:jc w:val="center"/>
        <w:rPr>
          <w:color w:val="auto"/>
        </w:rPr>
      </w:pPr>
    </w:p>
    <w:p w14:paraId="3C6D68F9" w14:textId="77777777" w:rsidR="00930E7A" w:rsidRDefault="005957E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Об установлении земельного налога</w:t>
      </w:r>
    </w:p>
    <w:p w14:paraId="4C60E2B6" w14:textId="77777777" w:rsidR="00930E7A" w:rsidRDefault="005957E2">
      <w:pPr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В Раздольненском сельском поселении Кореновского района</w:t>
      </w:r>
    </w:p>
    <w:p w14:paraId="3BE63A2E" w14:textId="77777777" w:rsidR="00930E7A" w:rsidRDefault="00930E7A">
      <w:pPr>
        <w:jc w:val="center"/>
        <w:rPr>
          <w:b/>
          <w:color w:val="auto"/>
          <w:sz w:val="28"/>
        </w:rPr>
      </w:pPr>
    </w:p>
    <w:p w14:paraId="0A52DD4B" w14:textId="77777777" w:rsidR="00930E7A" w:rsidRDefault="00930E7A">
      <w:pPr>
        <w:rPr>
          <w:color w:val="auto"/>
        </w:rPr>
      </w:pPr>
    </w:p>
    <w:p w14:paraId="28002CE9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В соответствии с главой 31 Налогового кодекса </w:t>
      </w:r>
      <w:r>
        <w:rPr>
          <w:color w:val="auto"/>
          <w:sz w:val="28"/>
        </w:rPr>
        <w:t>Российской Федерации (далее – НК РФ), статьей 14 Федерального закона от 06 октября 2003 №131-ФЗ «Об общих принципах организации местного самоуправления в Российской Федерации», федеральными законами от 12 июля 2024 г. № 176-ФЗ "О внесении изменений в части</w:t>
      </w:r>
      <w:r>
        <w:rPr>
          <w:color w:val="auto"/>
          <w:sz w:val="28"/>
        </w:rPr>
        <w:t xml:space="preserve">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</w:t>
      </w:r>
      <w:r>
        <w:rPr>
          <w:color w:val="auto"/>
          <w:sz w:val="28"/>
        </w:rPr>
        <w:t>в части первую и вторую Налогового кодекса Российской Федерации и отдельные законодательные акты Российской Федерации о налогах и сборах", с Уставом Раздольненского сельского поселения Кореновского  района, Совет Раздольненского  сельского поселения Корено</w:t>
      </w:r>
      <w:r>
        <w:rPr>
          <w:color w:val="auto"/>
          <w:sz w:val="28"/>
        </w:rPr>
        <w:t>вского района, решил:</w:t>
      </w:r>
    </w:p>
    <w:p w14:paraId="29C7B5FF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 1.Установить на территории Раздольненского сельского поселения Кореновского района земельный налог.</w:t>
      </w:r>
    </w:p>
    <w:p w14:paraId="6D9DB8D2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 2. Настоящим решением в соответствии с НК РФ определяются налоговые ставки земельного налога, порядок уплаты налога в отно</w:t>
      </w:r>
      <w:r>
        <w:rPr>
          <w:color w:val="auto"/>
          <w:sz w:val="28"/>
        </w:rPr>
        <w:t>шении налогоплательщиков-организаций, а также устанавливаются налоговые льготы.</w:t>
      </w:r>
    </w:p>
    <w:p w14:paraId="56C8518A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 3.</w:t>
      </w:r>
      <w:r>
        <w:rPr>
          <w:color w:val="auto"/>
        </w:rPr>
        <w:t xml:space="preserve"> </w:t>
      </w:r>
      <w:r>
        <w:rPr>
          <w:color w:val="auto"/>
          <w:sz w:val="28"/>
        </w:rPr>
        <w:t>Налоговые ставки устанавливаются в следующих размерах:</w:t>
      </w:r>
    </w:p>
    <w:p w14:paraId="5DED01B5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      1) </w:t>
      </w:r>
      <w:r>
        <w:rPr>
          <w:b/>
          <w:color w:val="auto"/>
          <w:sz w:val="28"/>
        </w:rPr>
        <w:t>0,</w:t>
      </w:r>
      <w:proofErr w:type="gramStart"/>
      <w:r>
        <w:rPr>
          <w:b/>
          <w:color w:val="auto"/>
          <w:sz w:val="28"/>
        </w:rPr>
        <w:t>3</w:t>
      </w:r>
      <w:r>
        <w:rPr>
          <w:color w:val="auto"/>
        </w:rPr>
        <w:t xml:space="preserve"> </w:t>
      </w:r>
      <w:r>
        <w:rPr>
          <w:color w:val="auto"/>
          <w:sz w:val="28"/>
        </w:rPr>
        <w:t xml:space="preserve"> процентов</w:t>
      </w:r>
      <w:proofErr w:type="gramEnd"/>
      <w:r>
        <w:rPr>
          <w:color w:val="auto"/>
          <w:sz w:val="28"/>
        </w:rPr>
        <w:t xml:space="preserve">  - в отношении земельных участков:</w:t>
      </w:r>
    </w:p>
    <w:p w14:paraId="68677024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 отнесенных к землям сельскохозяйственного назначени</w:t>
      </w:r>
      <w:r>
        <w:rPr>
          <w:color w:val="auto"/>
          <w:sz w:val="28"/>
        </w:rPr>
        <w:t>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63460ACA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>- занятых жилищным фондом и (или) объектами инженерной инфраструктуры жилищно-коммунального комплекса (за исключени</w:t>
      </w:r>
      <w:r>
        <w:rPr>
          <w:rFonts w:eastAsia="Calibri" w:cs="Arial"/>
          <w:color w:val="auto"/>
          <w:sz w:val="28"/>
        </w:rPr>
        <w:t>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</w:t>
      </w:r>
      <w:r>
        <w:rPr>
          <w:rFonts w:eastAsia="Calibri" w:cs="Arial"/>
          <w:color w:val="auto"/>
          <w:sz w:val="28"/>
        </w:rPr>
        <w:t xml:space="preserve">ключением указанных в настоящем абзаце земельных участков, приобретенных (предоставленных) для </w:t>
      </w:r>
      <w:r>
        <w:rPr>
          <w:rFonts w:eastAsia="Calibri" w:cs="Arial"/>
          <w:color w:val="auto"/>
          <w:sz w:val="28"/>
        </w:rPr>
        <w:lastRenderedPageBreak/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</w:t>
      </w:r>
      <w:r>
        <w:rPr>
          <w:rFonts w:eastAsia="Calibri" w:cs="Arial"/>
          <w:color w:val="auto"/>
          <w:sz w:val="28"/>
        </w:rPr>
        <w:t>т 300 миллионов рублей;</w:t>
      </w:r>
    </w:p>
    <w:p w14:paraId="1118CEF0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>
        <w:rPr>
          <w:rFonts w:eastAsia="Calibri" w:cs="Arial"/>
          <w:color w:val="auto"/>
          <w:sz w:val="28"/>
        </w:rPr>
        <w:t>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</w:t>
      </w:r>
      <w:r>
        <w:rPr>
          <w:rFonts w:eastAsia="Calibri" w:cs="Arial"/>
          <w:color w:val="auto"/>
          <w:sz w:val="28"/>
        </w:rPr>
        <w:t>адастровая стоимость каждого из которых превышает 300 миллионов рублей;</w:t>
      </w:r>
    </w:p>
    <w:p w14:paraId="7FC781B5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23C8099F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2) </w:t>
      </w:r>
      <w:r>
        <w:rPr>
          <w:b/>
          <w:color w:val="auto"/>
          <w:sz w:val="28"/>
        </w:rPr>
        <w:t>1,5</w:t>
      </w:r>
      <w:r>
        <w:rPr>
          <w:color w:val="auto"/>
          <w:sz w:val="28"/>
        </w:rPr>
        <w:t xml:space="preserve"> процентов</w:t>
      </w:r>
      <w:r>
        <w:rPr>
          <w:color w:val="auto"/>
        </w:rPr>
        <w:t xml:space="preserve"> </w:t>
      </w:r>
      <w:r>
        <w:rPr>
          <w:color w:val="auto"/>
          <w:sz w:val="28"/>
        </w:rPr>
        <w:t xml:space="preserve">в отношении </w:t>
      </w:r>
      <w:r>
        <w:rPr>
          <w:color w:val="auto"/>
          <w:sz w:val="28"/>
        </w:rPr>
        <w:t>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14:paraId="4C25DED2" w14:textId="77777777" w:rsidR="00930E7A" w:rsidRDefault="005957E2" w:rsidP="00061E0B">
      <w:pPr>
        <w:ind w:firstLine="709"/>
        <w:jc w:val="both"/>
      </w:pPr>
      <w:r>
        <w:rPr>
          <w:rFonts w:eastAsia="Calibri" w:cs="Arial"/>
          <w:color w:val="auto"/>
          <w:sz w:val="28"/>
        </w:rPr>
        <w:t xml:space="preserve">3) </w:t>
      </w:r>
      <w:r>
        <w:rPr>
          <w:rFonts w:eastAsia="Calibri" w:cs="Arial"/>
          <w:b/>
          <w:color w:val="auto"/>
          <w:sz w:val="28"/>
        </w:rPr>
        <w:t>1,5</w:t>
      </w:r>
      <w:r>
        <w:rPr>
          <w:color w:val="auto"/>
          <w:sz w:val="28"/>
        </w:rPr>
        <w:t xml:space="preserve"> процентов </w:t>
      </w:r>
      <w:r>
        <w:rPr>
          <w:rFonts w:eastAsia="Calibri" w:cs="Arial"/>
          <w:color w:val="auto"/>
          <w:sz w:val="28"/>
        </w:rPr>
        <w:t xml:space="preserve">в отношении земельных </w:t>
      </w:r>
      <w:r>
        <w:rPr>
          <w:rFonts w:eastAsia="Calibri" w:cs="Arial"/>
          <w:color w:val="auto"/>
          <w:sz w:val="28"/>
        </w:rPr>
        <w:t>участков, кадастровая стоимость каждого из которых превышает 300 миллионов рублей</w:t>
      </w:r>
    </w:p>
    <w:p w14:paraId="63E1F1C2" w14:textId="77777777" w:rsidR="00930E7A" w:rsidRDefault="005957E2" w:rsidP="00061E0B">
      <w:pPr>
        <w:ind w:firstLine="709"/>
        <w:jc w:val="both"/>
      </w:pPr>
      <w:r>
        <w:rPr>
          <w:i/>
          <w:color w:val="auto"/>
          <w:sz w:val="28"/>
        </w:rPr>
        <w:t xml:space="preserve">4) </w:t>
      </w:r>
      <w:r>
        <w:rPr>
          <w:b/>
          <w:i/>
          <w:color w:val="auto"/>
          <w:sz w:val="28"/>
        </w:rPr>
        <w:t>1,5</w:t>
      </w:r>
      <w:r>
        <w:rPr>
          <w:i/>
          <w:color w:val="auto"/>
          <w:sz w:val="28"/>
        </w:rPr>
        <w:t xml:space="preserve"> процентов 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</w:t>
      </w:r>
      <w:r>
        <w:rPr>
          <w:i/>
          <w:color w:val="auto"/>
          <w:sz w:val="28"/>
        </w:rPr>
        <w:t>собного хозяйства, используемых в предпринимательской деятельности;</w:t>
      </w:r>
    </w:p>
    <w:p w14:paraId="6E0486A6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5) </w:t>
      </w:r>
      <w:r>
        <w:rPr>
          <w:b/>
          <w:color w:val="auto"/>
          <w:sz w:val="28"/>
        </w:rPr>
        <w:t>1,5</w:t>
      </w:r>
      <w:r>
        <w:rPr>
          <w:color w:val="auto"/>
          <w:sz w:val="28"/>
        </w:rPr>
        <w:t xml:space="preserve"> </w:t>
      </w:r>
      <w:proofErr w:type="gramStart"/>
      <w:r>
        <w:rPr>
          <w:color w:val="auto"/>
          <w:sz w:val="28"/>
        </w:rPr>
        <w:t>процентов  в</w:t>
      </w:r>
      <w:proofErr w:type="gramEnd"/>
      <w:r>
        <w:rPr>
          <w:color w:val="auto"/>
          <w:sz w:val="28"/>
        </w:rPr>
        <w:t xml:space="preserve"> отношении прочих земельных участков.</w:t>
      </w:r>
    </w:p>
    <w:p w14:paraId="3EAE9314" w14:textId="77777777" w:rsidR="00930E7A" w:rsidRDefault="005957E2" w:rsidP="00061E0B">
      <w:pPr>
        <w:jc w:val="both"/>
        <w:rPr>
          <w:color w:val="auto"/>
          <w:sz w:val="28"/>
        </w:rPr>
      </w:pPr>
      <w:r>
        <w:rPr>
          <w:color w:val="auto"/>
          <w:sz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14:paraId="4A4D3B02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</w:t>
      </w:r>
      <w:r>
        <w:rPr>
          <w:rFonts w:eastAsia="Calibri" w:cs="Arial"/>
          <w:color w:val="auto"/>
          <w:sz w:val="28"/>
        </w:rPr>
        <w:t>Налогопл</w:t>
      </w:r>
      <w:r>
        <w:rPr>
          <w:rFonts w:eastAsia="Calibri" w:cs="Arial"/>
          <w:color w:val="auto"/>
          <w:sz w:val="28"/>
        </w:rPr>
        <w:t>ательщики-организации исчисляют сумму налога (сумму авансового платежа по налогу) самостоятельно. Налогоплательщиками-организациями земельный налог (авансовые платежи по земельному налогу) уплачиваются в сроки, установленные НК РФ.</w:t>
      </w:r>
    </w:p>
    <w:p w14:paraId="0FDDA647" w14:textId="77777777" w:rsidR="00930E7A" w:rsidRDefault="005957E2" w:rsidP="00061E0B">
      <w:pPr>
        <w:jc w:val="both"/>
      </w:pPr>
      <w:r>
        <w:rPr>
          <w:rFonts w:eastAsia="Calibri" w:cs="Arial"/>
          <w:color w:val="auto"/>
          <w:sz w:val="28"/>
        </w:rPr>
        <w:t xml:space="preserve">5. Сумма налога, подлежащая уплате налогоплательщиками-физическими лицами, исчисляется налоговыми органами. </w:t>
      </w:r>
      <w:r>
        <w:rPr>
          <w:color w:val="auto"/>
          <w:sz w:val="28"/>
        </w:rPr>
        <w:t>Налогоплательщиками-физическими лицами земельный налог уплачивается в сроки, установленные НК РФ.</w:t>
      </w:r>
    </w:p>
    <w:p w14:paraId="4540B082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 xml:space="preserve"> 6. Освободить от уплаты земельного налога следующ</w:t>
      </w:r>
      <w:r>
        <w:rPr>
          <w:color w:val="auto"/>
          <w:sz w:val="28"/>
        </w:rPr>
        <w:t>ие категории налогоплательщиков:</w:t>
      </w:r>
    </w:p>
    <w:p w14:paraId="5DC04656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1) органы местного самоуправления Раздольненского сельского поселения Кореновского района и муниципальные учреждения, финансируемые из бюджета Раздольненского сельского поселения Кореновского района;</w:t>
      </w:r>
    </w:p>
    <w:p w14:paraId="34574CA6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Указанная льгота предос</w:t>
      </w:r>
      <w:r>
        <w:rPr>
          <w:color w:val="auto"/>
          <w:sz w:val="28"/>
        </w:rPr>
        <w:t>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деятельности.</w:t>
      </w:r>
    </w:p>
    <w:p w14:paraId="14245C5E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2)муниципальные предприятия и муни</w:t>
      </w:r>
      <w:r>
        <w:rPr>
          <w:color w:val="auto"/>
          <w:sz w:val="28"/>
        </w:rPr>
        <w:t xml:space="preserve">ципальные учреждения- в </w:t>
      </w:r>
      <w:r>
        <w:rPr>
          <w:color w:val="auto"/>
          <w:sz w:val="28"/>
        </w:rPr>
        <w:lastRenderedPageBreak/>
        <w:t>отношении земельных участков, занятых муниципальными кладбищами;</w:t>
      </w:r>
    </w:p>
    <w:p w14:paraId="51F83061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3) ветеранов и инвалидов Великой Отечественной войны.</w:t>
      </w:r>
    </w:p>
    <w:p w14:paraId="3964D5DA" w14:textId="77777777" w:rsidR="00930E7A" w:rsidRDefault="005957E2" w:rsidP="00061E0B">
      <w:pPr>
        <w:ind w:firstLine="709"/>
        <w:jc w:val="both"/>
      </w:pPr>
      <w:r>
        <w:rPr>
          <w:color w:val="auto"/>
          <w:sz w:val="28"/>
        </w:rPr>
        <w:t>Налогоплательщики, имеющие право на налоговые льготы, в том числе в виде налогового вычета, установленные законод</w:t>
      </w:r>
      <w:r>
        <w:rPr>
          <w:color w:val="auto"/>
          <w:sz w:val="28"/>
        </w:rPr>
        <w:t>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6C6CD326" w14:textId="77777777" w:rsidR="00930E7A" w:rsidRDefault="005957E2" w:rsidP="00061E0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Налоговые льготы, предусмотренные </w:t>
      </w:r>
      <w:r>
        <w:rPr>
          <w:color w:val="auto"/>
          <w:sz w:val="28"/>
        </w:rPr>
        <w:t>пунктом 6 настоящего решения, предоставляются в порядке, аналогичном порядку, предусмотренному пунктом 3 статьи 361.1 НК РФ.</w:t>
      </w:r>
    </w:p>
    <w:p w14:paraId="25ED5989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 решения Совета Раздольненского сельского поселения Кореновского района:</w:t>
      </w:r>
    </w:p>
    <w:p w14:paraId="1D9092A5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 от 22.11.20218 года № 285 «</w:t>
      </w:r>
      <w:r>
        <w:rPr>
          <w:sz w:val="28"/>
          <w:szCs w:val="28"/>
        </w:rPr>
        <w:t>Об установлении земельного налога»,</w:t>
      </w:r>
    </w:p>
    <w:p w14:paraId="4E568E6B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26.11.2019 года № 21 «О внесении изменений в решение Совета Раздольненского сельского поселения Кореновского района от 22 ноября 2018 года №285 «Об установлении земельного налога»;</w:t>
      </w:r>
    </w:p>
    <w:p w14:paraId="69A28DD6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27.01.2022 года № 195 «О внес</w:t>
      </w:r>
      <w:r>
        <w:rPr>
          <w:sz w:val="28"/>
          <w:szCs w:val="28"/>
        </w:rPr>
        <w:t>ении изменений в решение Совета Раздольненского сельского поселения Кореновского района от 22 ноября 2018 года №285 «Об установлении земельного налога»;</w:t>
      </w:r>
    </w:p>
    <w:p w14:paraId="1C284B52" w14:textId="77777777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26.07.2024 года № 351 «О внесении изменений в решение Совета Раздольненского сельского поселения К</w:t>
      </w:r>
      <w:r>
        <w:rPr>
          <w:sz w:val="28"/>
          <w:szCs w:val="28"/>
        </w:rPr>
        <w:t>ореновского района от 22 ноября 2018 года №285 «Об установлении земельного налога».</w:t>
      </w:r>
    </w:p>
    <w:p w14:paraId="50DE56F0" w14:textId="4F52134C" w:rsidR="00930E7A" w:rsidRDefault="005957E2" w:rsidP="00061E0B">
      <w:pPr>
        <w:jc w:val="both"/>
      </w:pPr>
      <w:r>
        <w:rPr>
          <w:color w:val="auto"/>
          <w:sz w:val="28"/>
        </w:rPr>
        <w:t xml:space="preserve">     8. Главе Раздольненского сельского поселения </w:t>
      </w:r>
      <w:r w:rsidR="00061E0B">
        <w:rPr>
          <w:color w:val="auto"/>
          <w:sz w:val="28"/>
        </w:rPr>
        <w:t>Кореновского района</w:t>
      </w:r>
      <w:r>
        <w:rPr>
          <w:color w:val="auto"/>
          <w:sz w:val="28"/>
        </w:rPr>
        <w:t xml:space="preserve"> </w:t>
      </w:r>
      <w:proofErr w:type="spellStart"/>
      <w:r>
        <w:rPr>
          <w:color w:val="auto"/>
          <w:sz w:val="28"/>
        </w:rPr>
        <w:t>Ериги</w:t>
      </w:r>
      <w:bookmarkStart w:id="0" w:name="_GoBack"/>
      <w:bookmarkEnd w:id="0"/>
      <w:r>
        <w:rPr>
          <w:color w:val="auto"/>
          <w:sz w:val="28"/>
        </w:rPr>
        <w:t>ну</w:t>
      </w:r>
      <w:proofErr w:type="spellEnd"/>
      <w:r>
        <w:rPr>
          <w:color w:val="auto"/>
          <w:sz w:val="28"/>
        </w:rPr>
        <w:t xml:space="preserve"> А.Н. опубликовать текст настоящего решения в газете «Кореновские вести» и разместить </w:t>
      </w:r>
      <w:r w:rsidR="00061E0B">
        <w:rPr>
          <w:color w:val="auto"/>
          <w:sz w:val="28"/>
        </w:rPr>
        <w:t>на официальном</w:t>
      </w:r>
      <w:r>
        <w:rPr>
          <w:color w:val="auto"/>
          <w:sz w:val="28"/>
        </w:rPr>
        <w:t xml:space="preserve"> сайте администрации Раздольненского сельского поселения Кореновского района в информационно-телекоммуникационной сети «Интернет»</w:t>
      </w:r>
    </w:p>
    <w:p w14:paraId="7CBA2055" w14:textId="47A38D75" w:rsidR="00930E7A" w:rsidRDefault="005957E2" w:rsidP="00061E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Контроль за исполнением настоящего решения возложить постоянную комиссию Совета Раздольненского сельского </w:t>
      </w:r>
      <w:r w:rsidR="00061E0B">
        <w:rPr>
          <w:sz w:val="28"/>
          <w:szCs w:val="28"/>
        </w:rPr>
        <w:t>поселения Кореновского</w:t>
      </w:r>
      <w:r>
        <w:rPr>
          <w:sz w:val="28"/>
          <w:szCs w:val="28"/>
        </w:rPr>
        <w:t xml:space="preserve"> района по вопросам финансово-бюджетной и экономической политике, налогам и сборам, землепользованию и землеустройству (Захарова).</w:t>
      </w:r>
    </w:p>
    <w:p w14:paraId="0B775358" w14:textId="28A576FB" w:rsidR="00930E7A" w:rsidRDefault="005957E2" w:rsidP="00061E0B">
      <w:pPr>
        <w:jc w:val="both"/>
      </w:pPr>
      <w:r>
        <w:rPr>
          <w:color w:val="auto"/>
          <w:sz w:val="28"/>
        </w:rPr>
        <w:t xml:space="preserve">    10. Настоящее решение согласно ст. 16 НК РФ </w:t>
      </w:r>
      <w:r w:rsidR="00061E0B">
        <w:rPr>
          <w:color w:val="auto"/>
          <w:sz w:val="28"/>
        </w:rPr>
        <w:t>направить в</w:t>
      </w:r>
      <w:r>
        <w:rPr>
          <w:color w:val="auto"/>
          <w:sz w:val="28"/>
        </w:rPr>
        <w:t xml:space="preserve"> Межрайонную инспекцию   Федеральной налоговой с</w:t>
      </w:r>
      <w:r>
        <w:rPr>
          <w:color w:val="auto"/>
          <w:sz w:val="28"/>
        </w:rPr>
        <w:t>лужбы России № 14 по Краснодарскому краю.</w:t>
      </w:r>
    </w:p>
    <w:p w14:paraId="7BC5112F" w14:textId="77777777" w:rsidR="00930E7A" w:rsidRDefault="005957E2" w:rsidP="00061E0B">
      <w:pPr>
        <w:jc w:val="both"/>
      </w:pPr>
      <w:r>
        <w:rPr>
          <w:color w:val="auto"/>
          <w:sz w:val="28"/>
        </w:rPr>
        <w:t xml:space="preserve">     11.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52313D72" w14:textId="77777777" w:rsidR="00930E7A" w:rsidRDefault="00930E7A" w:rsidP="00061E0B">
      <w:pPr>
        <w:ind w:firstLine="709"/>
        <w:jc w:val="both"/>
        <w:rPr>
          <w:color w:val="auto"/>
          <w:sz w:val="28"/>
        </w:rPr>
      </w:pPr>
    </w:p>
    <w:p w14:paraId="460F248B" w14:textId="77777777" w:rsidR="00930E7A" w:rsidRDefault="00930E7A">
      <w:pPr>
        <w:rPr>
          <w:color w:val="auto"/>
          <w:sz w:val="28"/>
        </w:rPr>
      </w:pPr>
    </w:p>
    <w:p w14:paraId="4DF9B213" w14:textId="77777777" w:rsidR="00930E7A" w:rsidRDefault="00930E7A">
      <w:pPr>
        <w:tabs>
          <w:tab w:val="left" w:pos="851"/>
        </w:tabs>
        <w:jc w:val="both"/>
        <w:rPr>
          <w:rFonts w:eastAsia="Arial"/>
          <w:color w:val="auto"/>
          <w:sz w:val="28"/>
        </w:rPr>
      </w:pPr>
    </w:p>
    <w:p w14:paraId="7F316AF9" w14:textId="77777777" w:rsidR="00930E7A" w:rsidRDefault="005957E2">
      <w:pPr>
        <w:tabs>
          <w:tab w:val="left" w:pos="851"/>
        </w:tabs>
        <w:jc w:val="both"/>
        <w:rPr>
          <w:rFonts w:eastAsia="Arial"/>
          <w:color w:val="auto"/>
          <w:sz w:val="28"/>
        </w:rPr>
      </w:pPr>
      <w:r>
        <w:rPr>
          <w:rFonts w:eastAsia="Arial"/>
          <w:color w:val="auto"/>
          <w:sz w:val="28"/>
        </w:rPr>
        <w:t>Глава</w:t>
      </w:r>
    </w:p>
    <w:p w14:paraId="25E1DE20" w14:textId="77777777" w:rsidR="00930E7A" w:rsidRDefault="005957E2">
      <w:pPr>
        <w:tabs>
          <w:tab w:val="left" w:pos="851"/>
        </w:tabs>
        <w:jc w:val="both"/>
      </w:pPr>
      <w:r>
        <w:rPr>
          <w:rFonts w:eastAsia="Arial"/>
          <w:color w:val="auto"/>
          <w:sz w:val="28"/>
        </w:rPr>
        <w:t xml:space="preserve">Раздольненского </w:t>
      </w:r>
      <w:r>
        <w:rPr>
          <w:color w:val="auto"/>
          <w:sz w:val="28"/>
        </w:rPr>
        <w:t>сельского поселения</w:t>
      </w:r>
    </w:p>
    <w:p w14:paraId="65133B47" w14:textId="77777777" w:rsidR="00930E7A" w:rsidRDefault="005957E2">
      <w:r>
        <w:rPr>
          <w:rFonts w:cs="Calibri"/>
          <w:color w:val="auto"/>
          <w:sz w:val="28"/>
        </w:rPr>
        <w:t>Кореновского района</w:t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</w:r>
      <w:r>
        <w:rPr>
          <w:rFonts w:cs="Calibri"/>
          <w:color w:val="auto"/>
          <w:sz w:val="28"/>
        </w:rPr>
        <w:tab/>
        <w:t>А.Н. Еригин</w:t>
      </w:r>
    </w:p>
    <w:sectPr w:rsidR="00930E7A" w:rsidSect="00061E0B">
      <w:headerReference w:type="default" r:id="rId8"/>
      <w:footerReference w:type="default" r:id="rId9"/>
      <w:pgSz w:w="11906" w:h="16838"/>
      <w:pgMar w:top="1134" w:right="567" w:bottom="851" w:left="1701" w:header="10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DF9C" w14:textId="77777777" w:rsidR="005957E2" w:rsidRDefault="005957E2">
      <w:r>
        <w:separator/>
      </w:r>
    </w:p>
  </w:endnote>
  <w:endnote w:type="continuationSeparator" w:id="0">
    <w:p w14:paraId="110A4302" w14:textId="77777777" w:rsidR="005957E2" w:rsidRDefault="0059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5019" w14:textId="77777777" w:rsidR="00BC3DAA" w:rsidRDefault="005957E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41D31" w14:textId="77777777" w:rsidR="005957E2" w:rsidRDefault="005957E2">
      <w:r>
        <w:separator/>
      </w:r>
    </w:p>
  </w:footnote>
  <w:footnote w:type="continuationSeparator" w:id="0">
    <w:p w14:paraId="0C26CDD0" w14:textId="77777777" w:rsidR="005957E2" w:rsidRDefault="0059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918D" w14:textId="77777777" w:rsidR="00BC3DAA" w:rsidRDefault="005957E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5CD2"/>
    <w:multiLevelType w:val="multilevel"/>
    <w:tmpl w:val="67689DC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7A"/>
    <w:rsid w:val="00061E0B"/>
    <w:rsid w:val="005957E2"/>
    <w:rsid w:val="007B0DDA"/>
    <w:rsid w:val="00890DDD"/>
    <w:rsid w:val="00930E7A"/>
    <w:rsid w:val="00C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B5E4"/>
  <w15:docId w15:val="{3D16355D-276F-4D91-B948-1A3B424B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0" w:after="60"/>
      <w:outlineLvl w:val="0"/>
    </w:pPr>
    <w:rPr>
      <w:rFonts w:ascii="Cambria" w:hAnsi="Cambria" w:cs="Cambria"/>
      <w:b/>
      <w:sz w:val="32"/>
      <w:lang w:val="en-US"/>
    </w:rPr>
  </w:style>
  <w:style w:type="paragraph" w:styleId="2">
    <w:name w:val="heading 2"/>
    <w:basedOn w:val="a"/>
    <w:uiPriority w:val="9"/>
    <w:semiHidden/>
    <w:unhideWhenUsed/>
    <w:qFormat/>
    <w:pPr>
      <w:jc w:val="center"/>
      <w:outlineLvl w:val="1"/>
    </w:pPr>
    <w:rPr>
      <w:b/>
    </w:rPr>
  </w:style>
  <w:style w:type="paragraph" w:styleId="3">
    <w:name w:val="heading 3"/>
    <w:basedOn w:val="a"/>
    <w:uiPriority w:val="9"/>
    <w:semiHidden/>
    <w:unhideWhenUsed/>
    <w:qFormat/>
    <w:pPr>
      <w:jc w:val="center"/>
      <w:outlineLvl w:val="2"/>
    </w:pPr>
    <w:rPr>
      <w:b/>
      <w:sz w:val="28"/>
    </w:rPr>
  </w:style>
  <w:style w:type="paragraph" w:styleId="4">
    <w:name w:val="heading 4"/>
    <w:basedOn w:val="a"/>
    <w:uiPriority w:val="9"/>
    <w:semiHidden/>
    <w:unhideWhenUsed/>
    <w:qFormat/>
    <w:pPr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iPriority w:val="9"/>
    <w:semiHidden/>
    <w:unhideWhenUsed/>
    <w:qFormat/>
    <w:pPr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iPriority w:val="9"/>
    <w:semiHidden/>
    <w:unhideWhenUsed/>
    <w:qFormat/>
    <w:pPr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pPr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pPr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pPr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a"/>
    <w:pPr>
      <w:spacing w:before="240" w:after="120"/>
    </w:pPr>
    <w:rPr>
      <w:rFonts w:ascii="Arial" w:eastAsia="DejaVu Sans" w:hAnsi="Arial" w:cs="DejaVu Sans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 Paragraph"/>
    <w:basedOn w:val="a"/>
    <w:pPr>
      <w:ind w:left="720"/>
    </w:pPr>
  </w:style>
  <w:style w:type="paragraph" w:styleId="a4">
    <w:name w:val="No Spacing"/>
    <w:pPr>
      <w:suppressAutoHyphens/>
    </w:pPr>
    <w:rPr>
      <w:rFonts w:ascii="Calibri" w:eastAsia="Calibri" w:hAnsi="Calibri" w:cs="Calibri"/>
      <w:sz w:val="22"/>
      <w:lang w:val="ru-RU"/>
    </w:rPr>
  </w:style>
  <w:style w:type="paragraph" w:styleId="a5">
    <w:name w:val="Title"/>
    <w:basedOn w:val="a"/>
    <w:uiPriority w:val="10"/>
    <w:qFormat/>
    <w:pPr>
      <w:spacing w:before="300" w:after="200"/>
    </w:pPr>
    <w:rPr>
      <w:sz w:val="48"/>
    </w:rPr>
  </w:style>
  <w:style w:type="paragraph" w:styleId="a6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pPr>
      <w:ind w:left="720" w:right="720"/>
    </w:pPr>
    <w:rPr>
      <w:i/>
    </w:rPr>
  </w:style>
  <w:style w:type="paragraph" w:styleId="a7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8">
    <w:name w:val="footnote text"/>
    <w:basedOn w:val="a"/>
    <w:pPr>
      <w:spacing w:after="40"/>
    </w:pPr>
    <w:rPr>
      <w:sz w:val="18"/>
    </w:rPr>
  </w:style>
  <w:style w:type="paragraph" w:styleId="a9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a">
    <w:name w:val="TOC Heading"/>
    <w:pPr>
      <w:suppressAutoHyphens/>
    </w:pPr>
  </w:style>
  <w:style w:type="paragraph" w:styleId="ab">
    <w:name w:val="table of figures"/>
    <w:basedOn w:val="a"/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pPr>
      <w:spacing w:before="120" w:after="120"/>
    </w:pPr>
    <w:rPr>
      <w:i/>
    </w:rPr>
  </w:style>
  <w:style w:type="paragraph" w:customStyle="1" w:styleId="Index">
    <w:name w:val="Index"/>
    <w:basedOn w:val="a"/>
  </w:style>
  <w:style w:type="paragraph" w:styleId="af">
    <w:name w:val="Body Text Indent"/>
    <w:basedOn w:val="a"/>
    <w:pPr>
      <w:ind w:firstLine="840"/>
      <w:jc w:val="both"/>
    </w:pPr>
    <w:rPr>
      <w:sz w:val="28"/>
      <w:lang w:val="en-US"/>
    </w:rPr>
  </w:style>
  <w:style w:type="paragraph" w:customStyle="1" w:styleId="Text">
    <w:name w:val="Text"/>
    <w:basedOn w:val="a"/>
    <w:pPr>
      <w:ind w:firstLine="851"/>
      <w:jc w:val="both"/>
    </w:pPr>
    <w:rPr>
      <w:rFonts w:ascii="Courier New" w:hAnsi="Courier New" w:cs="Courier New"/>
      <w:sz w:val="20"/>
      <w:lang w:val="en-US"/>
    </w:rPr>
  </w:style>
  <w:style w:type="paragraph" w:styleId="22">
    <w:name w:val="Body Text Indent 2"/>
    <w:basedOn w:val="a"/>
    <w:pPr>
      <w:spacing w:after="120" w:line="480" w:lineRule="auto"/>
      <w:ind w:left="283" w:firstLine="851"/>
      <w:jc w:val="both"/>
    </w:pPr>
    <w:rPr>
      <w:sz w:val="28"/>
      <w:lang w:val="en-US"/>
    </w:rPr>
  </w:style>
  <w:style w:type="paragraph" w:customStyle="1" w:styleId="11">
    <w:name w:val="Текст1"/>
    <w:basedOn w:val="a"/>
    <w:pPr>
      <w:jc w:val="both"/>
    </w:pPr>
    <w:rPr>
      <w:rFonts w:ascii="Courier New" w:hAnsi="Courier New" w:cs="Courier New"/>
      <w:sz w:val="20"/>
    </w:rPr>
  </w:style>
  <w:style w:type="paragraph" w:styleId="31">
    <w:name w:val="Body Text Indent 3"/>
    <w:basedOn w:val="a"/>
    <w:pPr>
      <w:spacing w:after="120"/>
      <w:ind w:left="283"/>
    </w:pPr>
    <w:rPr>
      <w:sz w:val="16"/>
      <w:lang w:val="en-US"/>
    </w:rPr>
  </w:style>
  <w:style w:type="paragraph" w:customStyle="1" w:styleId="HeaderandFooter">
    <w:name w:val="Header and Footer"/>
    <w:basedOn w:val="a"/>
    <w:pPr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1">
    <w:name w:val="footer"/>
    <w:basedOn w:val="a"/>
    <w:pPr>
      <w:tabs>
        <w:tab w:val="center" w:pos="4677"/>
        <w:tab w:val="right" w:pos="9354"/>
      </w:tabs>
    </w:pPr>
    <w:rPr>
      <w:lang w:val="en-US"/>
    </w:rPr>
  </w:style>
  <w:style w:type="paragraph" w:styleId="af2">
    <w:name w:val="Balloon Text"/>
    <w:basedOn w:val="a"/>
    <w:rPr>
      <w:rFonts w:ascii="Segoe UI" w:hAnsi="Segoe UI" w:cs="Segoe UI"/>
      <w:sz w:val="18"/>
      <w:lang w:val="en-US"/>
    </w:rPr>
  </w:style>
  <w:style w:type="paragraph" w:customStyle="1" w:styleId="ConsPlusNormal">
    <w:name w:val="ConsPlusNormal"/>
    <w:pPr>
      <w:suppressAutoHyphens/>
    </w:pPr>
    <w:rPr>
      <w:rFonts w:ascii="Calibri" w:eastAsia="Calibri" w:hAnsi="Calibri" w:cs="Calibri"/>
      <w:sz w:val="22"/>
      <w:lang w:val="ru-RU"/>
    </w:rPr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af3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4">
    <w:name w:val="endnote reference"/>
    <w:rPr>
      <w:position w:val="0"/>
      <w:vertAlign w:val="superscript"/>
    </w:rPr>
  </w:style>
  <w:style w:type="character" w:customStyle="1" w:styleId="WW8Num2z0">
    <w:name w:val="WW8Num2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af5">
    <w:name w:val="Основной текст с отступом Знак"/>
    <w:rPr>
      <w:sz w:val="28"/>
    </w:rPr>
  </w:style>
  <w:style w:type="character" w:customStyle="1" w:styleId="af6">
    <w:name w:val="Текст Знак"/>
    <w:rPr>
      <w:rFonts w:ascii="Courier New" w:hAnsi="Courier New" w:cs="Courier New"/>
    </w:rPr>
  </w:style>
  <w:style w:type="character" w:customStyle="1" w:styleId="23">
    <w:name w:val="Основной текст с отступом 2 Знак"/>
    <w:rPr>
      <w:sz w:val="28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sz w:val="32"/>
    </w:rPr>
  </w:style>
  <w:style w:type="character" w:customStyle="1" w:styleId="32">
    <w:name w:val="Основной текст с отступом 3 Знак"/>
    <w:rPr>
      <w:sz w:val="16"/>
      <w:lang w:val="en-US"/>
    </w:rPr>
  </w:style>
  <w:style w:type="character" w:customStyle="1" w:styleId="af7">
    <w:name w:val="Верхний колонтитул Знак"/>
    <w:rPr>
      <w:sz w:val="24"/>
    </w:rPr>
  </w:style>
  <w:style w:type="character" w:customStyle="1" w:styleId="af8">
    <w:name w:val="Нижний колонтитул Знак"/>
    <w:rPr>
      <w:sz w:val="24"/>
    </w:rPr>
  </w:style>
  <w:style w:type="character" w:customStyle="1" w:styleId="af9">
    <w:name w:val="Текст выноски Знак"/>
    <w:rPr>
      <w:rFonts w:ascii="Segoe UI" w:hAnsi="Segoe UI" w:cs="Segoe UI"/>
      <w:sz w:val="18"/>
    </w:rPr>
  </w:style>
  <w:style w:type="character" w:styleId="afa">
    <w:name w:val="Hyperlink"/>
    <w:rPr>
      <w:color w:val="0000FF"/>
      <w:u w:val="none"/>
    </w:rPr>
  </w:style>
  <w:style w:type="character" w:customStyle="1" w:styleId="Internetlink">
    <w:name w:val="Internet link"/>
    <w:rPr>
      <w:color w:val="0000FF"/>
      <w:u w:val="non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Владелец</dc:creator>
  <dc:description/>
  <cp:lastModifiedBy>RePack by Diakov</cp:lastModifiedBy>
  <cp:revision>3</cp:revision>
  <cp:lastPrinted>2024-10-23T05:17:00Z</cp:lastPrinted>
  <dcterms:created xsi:type="dcterms:W3CDTF">2024-10-14T12:34:00Z</dcterms:created>
  <dcterms:modified xsi:type="dcterms:W3CDTF">2024-10-23T05:19:00Z</dcterms:modified>
</cp:coreProperties>
</file>